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ascii="微软雅黑" w:hAnsi="微软雅黑" w:eastAsia="微软雅黑" w:cs="微软雅黑"/>
          <w:color w:val="DF7070"/>
          <w:sz w:val="22"/>
          <w:szCs w:val="22"/>
        </w:rPr>
      </w:pPr>
      <w:r>
        <w:rPr>
          <w:rFonts w:hint="eastAsia" w:ascii="微软雅黑" w:hAnsi="微软雅黑" w:eastAsia="微软雅黑" w:cs="微软雅黑"/>
          <w:color w:val="DF7070"/>
          <w:sz w:val="22"/>
          <w:szCs w:val="22"/>
        </w:rPr>
        <w:t>中南大学机电工程学院2019年硕士研究生招生复试方案</w:t>
      </w:r>
    </w:p>
    <w:p>
      <w:pPr>
        <w:keepNext w:val="0"/>
        <w:keepLines w:val="0"/>
        <w:widowControl/>
        <w:suppressLineNumbers w:val="0"/>
        <w:spacing w:before="300" w:beforeAutospacing="0" w:line="375" w:lineRule="atLeast"/>
        <w:jc w:val="left"/>
        <w:rPr>
          <w:sz w:val="18"/>
          <w:szCs w:val="18"/>
        </w:rPr>
      </w:pP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根据中南大学有关文件精神，我院坚持择优选拔和公平公正的原则，经党政联席会议通过，制定复试及拟录取工作实施方案。具体内容如下：</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（一）复试对象</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复试对象为初试成绩达到我校复试分数线的统考考生。已通过复试的推免生以及综合考核生不需参加此次复试，但要进行资格审查。不参加资格审查者不能录取。</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lang w:val="en-US" w:eastAsia="zh-CN" w:bidi="ar"/>
        </w:rPr>
        <w:t>（二）</w:t>
      </w:r>
      <w:r>
        <w:rPr>
          <w:rFonts w:hint="eastAsia" w:ascii="微软雅黑" w:hAnsi="微软雅黑" w:eastAsia="微软雅黑" w:cs="微软雅黑"/>
          <w:b/>
          <w:i w:val="0"/>
          <w:caps w:val="0"/>
          <w:color w:val="333333"/>
          <w:spacing w:val="0"/>
          <w:kern w:val="0"/>
          <w:sz w:val="20"/>
          <w:szCs w:val="20"/>
          <w:lang w:val="en-US" w:eastAsia="zh-CN" w:bidi="ar"/>
        </w:rPr>
        <w:t>复试工作领导小组及思想政治表现考核小组</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1、复试工作领导小组</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组长：段吉安</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副组长：肖来荣  蔺永诚</w:t>
      </w:r>
    </w:p>
    <w:p>
      <w:pPr>
        <w:keepNext w:val="0"/>
        <w:keepLines w:val="0"/>
        <w:widowControl/>
        <w:suppressLineNumbers w:val="0"/>
        <w:spacing w:before="300" w:beforeAutospacing="0" w:after="0" w:afterAutospacing="1" w:line="375" w:lineRule="atLeast"/>
        <w:ind w:left="723" w:right="0" w:hanging="723"/>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成员：黄凯  黄明辉  严宏志   邓华  蒋炳炎  谭建平    夏毅敏  吴运新  唐进元  廖平  湛利华   刘德福  帅词俊  张怀亮  易幼平  夏建芳吴万荣  贺继林  柳波  何玉辉  戴瑜  莫玲  童俊杰</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2、思想政治表现考核小组：</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组长;肖来荣</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成员：黄凯  蔺永诚  童俊杰  </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lang w:val="en-US" w:eastAsia="zh-CN" w:bidi="ar"/>
        </w:rPr>
        <w:t>（三）</w:t>
      </w:r>
      <w:r>
        <w:rPr>
          <w:rFonts w:hint="eastAsia" w:ascii="微软雅黑" w:hAnsi="微软雅黑" w:eastAsia="微软雅黑" w:cs="微软雅黑"/>
          <w:b/>
          <w:i w:val="0"/>
          <w:caps w:val="0"/>
          <w:color w:val="333333"/>
          <w:spacing w:val="0"/>
          <w:kern w:val="0"/>
          <w:sz w:val="20"/>
          <w:szCs w:val="20"/>
          <w:lang w:val="en-US" w:eastAsia="zh-CN" w:bidi="ar"/>
        </w:rPr>
        <w:t>复试资格审查</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所有取得复试资格的统考生都必须进行资格审查(包括综合考核学生，推免生)，统考生复试时需携带以下列材料：（1）初试准考证（核对照片）；（2）本人有效二代身份证件原件及复印件（核对照片和证件号码）；（3）毕业证书（或学位证书，应届毕业生带学生证）原件及复印件（核对学历证书编号或学位证书编号，或注册学号）；（4）考生政治思想及自述自评表（一式两份，一份自留，专业综合面试时需提交考官，模板见附件7）（包括思想政治表现、外语水平、业务和科研能力、研究计划等）；（5）大学期间成绩单原件或档案中成绩单复印件（加盖档案单位公章）。审查不合格的考生，一律不予复试和录取。</w:t>
      </w:r>
    </w:p>
    <w:p>
      <w:pPr>
        <w:keepNext w:val="0"/>
        <w:keepLines w:val="0"/>
        <w:widowControl/>
        <w:suppressLineNumbers w:val="0"/>
        <w:spacing w:before="300" w:beforeAutospacing="0" w:after="0" w:afterAutospacing="1" w:line="375" w:lineRule="atLeast"/>
        <w:ind w:left="0" w:right="0" w:firstLine="513"/>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士兵计划考生审查以上材料以外还需审查《入伍批准书》、《退出现役证》原件，并上交复印件（在复印件上注明报名号），学院汇总上交研究生院。</w:t>
      </w:r>
    </w:p>
    <w:p>
      <w:pPr>
        <w:keepNext w:val="0"/>
        <w:keepLines w:val="0"/>
        <w:widowControl/>
        <w:suppressLineNumbers w:val="0"/>
        <w:spacing w:before="300" w:beforeAutospacing="0" w:after="0" w:afterAutospacing="1" w:line="375" w:lineRule="atLeast"/>
        <w:ind w:left="0" w:right="0" w:firstLine="513"/>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注意：综合考核生需进行现场资格审查并提供上述所有的审查材料；外校推免生需将成绩单原件和政审表，政审表中填写考生思想政治和现实表现（由考生所在党委或总支填写），并加盖所在学院单位公章，在3月30日之前寄送至中南大学（新校区）机电工程学院研究生办公室B206；电话：0731-88877351，闫老师收。本校推免生将成绩单原件和政审表加盖所在学院单位公章，（政审表中填写考生政治思想和现实表现（由考生所在党委或总支填写），在3月30日之前交至（新校区）机电工程学院研究生办公室B206）</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（四）复试基本形式及内容</w:t>
      </w:r>
    </w:p>
    <w:p>
      <w:pPr>
        <w:keepNext w:val="0"/>
        <w:keepLines w:val="0"/>
        <w:widowControl/>
        <w:suppressLineNumbers w:val="0"/>
        <w:spacing w:before="300" w:beforeAutospacing="0" w:after="0" w:afterAutospacing="1" w:line="375" w:lineRule="atLeast"/>
        <w:ind w:left="0" w:right="0" w:firstLine="52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复试内容包括四个方面：思想政治表现考核、专业课笔试、外语能力测试、综合素质及能力测试（含心理健康测试）。所有面试进行录音摄像记录，并保存3年以上。</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（1）思想政治表现考核</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按照关于博、硕士研究生指导教师认定和招生录取工作中加强思想政治把关的有关规定（试行）》（附件1）的要求组织和实施，考核等级按“合格”和“不合格”考核，考核不合格不予录取。考核成绩不计入复试总成绩。</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（2）专业素质和能力测试</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专业素质和能力测试采用笔试形式。满分值为150分。命题范围：笔试课程科目（见附件6），每题分值15分, 满分150分，笔试考试时间为3小时。</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（3）外语能力测试</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外语听说能力测试采取听说交流的形式（面试），满分50分。每名考生的测试时间一般不少于5分钟。复试小组每个成员各自独立给考生评分，取算术平均值为最终成绩.</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（4）政治思想表现、综合素质能力测试</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政治思想表现考核内容：A、考生考前提前书面自评，面试时交到考核小组，自评内容见附件7（对党的路线、方针、政策的态度；宗教信仰；是否受过党纪政纪处分、有无违法犯罪记录；家庭成员及主要社会关系的政治情况及对本人的影响等）。B、思想政治认识答题。</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综合素质及能力测试采用面试形式，内容包括专业能力、社会实践能力、组织能力、成果与贡献、心理素质等，满分100分。</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每名考生的面试时间一般不少于10分钟。复试小组每个成员各自独立给考生评分，取算术平均值为最终成绩。复试小组安排秘书当场如实记录每位考生作答情况和复试成员各自评分，并考察考生心理健康状况。</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（五）复试成绩与录取</w:t>
      </w:r>
    </w:p>
    <w:p>
      <w:pPr>
        <w:keepNext w:val="0"/>
        <w:keepLines w:val="0"/>
        <w:widowControl/>
        <w:suppressLineNumbers w:val="0"/>
        <w:spacing w:before="300" w:beforeAutospacing="0" w:after="0" w:afterAutospacing="1" w:line="375" w:lineRule="atLeast"/>
        <w:ind w:left="0" w:right="0" w:firstLine="567"/>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复试总成绩=初试总分+复试总分（专业课笔试成绩+外语能力测试成绩+综合素质及能力测试成绩）。</w:t>
      </w:r>
    </w:p>
    <w:p>
      <w:pPr>
        <w:keepNext w:val="0"/>
        <w:keepLines w:val="0"/>
        <w:widowControl/>
        <w:suppressLineNumbers w:val="0"/>
        <w:spacing w:before="300" w:beforeAutospacing="0" w:after="0" w:afterAutospacing="1" w:line="375" w:lineRule="atLeast"/>
        <w:ind w:left="0" w:right="0" w:firstLine="567"/>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参加复试的考生出现以下情况之一者将不予录取：①专业课笔试、外语能力测试、综合素质及能力测试任一门或多门成绩不合格；②思想政治表现考核不合格；③资格审查或资格复审未通过。</w:t>
      </w:r>
    </w:p>
    <w:p>
      <w:pPr>
        <w:keepNext w:val="0"/>
        <w:keepLines w:val="0"/>
        <w:widowControl/>
        <w:suppressLineNumbers w:val="0"/>
        <w:spacing w:before="300" w:beforeAutospacing="0" w:after="0" w:afterAutospacing="1" w:line="375" w:lineRule="atLeast"/>
        <w:ind w:left="0" w:right="0" w:firstLine="567"/>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专业课笔试、外语能力测试、综合素质及能力测试、思想政治表现考核全部合格者，按照总成绩名次依次录取。</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（六）招生指标</w:t>
      </w:r>
    </w:p>
    <w:tbl>
      <w:tblPr>
        <w:tblW w:w="8522"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4260"/>
        <w:gridCol w:w="42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4260"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ascii="仿宋" w:hAnsi="仿宋" w:eastAsia="仿宋" w:cs="仿宋"/>
                <w:b/>
                <w:i w:val="0"/>
                <w:caps w:val="0"/>
                <w:color w:val="333333"/>
                <w:spacing w:val="0"/>
                <w:kern w:val="0"/>
                <w:sz w:val="24"/>
                <w:szCs w:val="24"/>
                <w:lang w:val="en-US" w:eastAsia="zh-CN" w:bidi="ar"/>
              </w:rPr>
              <w:t>2019年全日制研究生招生计划195人（学术学位85人，专业学位110人）</w:t>
            </w:r>
          </w:p>
        </w:tc>
        <w:tc>
          <w:tcPr>
            <w:tcW w:w="4262"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其中：推免生91人（其中，学术63人、专硕28人）；</w:t>
            </w:r>
          </w:p>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专项计划2人（其中，专硕2人：士兵计划1人，骨干计划1人）</w:t>
            </w:r>
          </w:p>
        </w:tc>
      </w:tr>
    </w:tbl>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（七）调剂</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我院不接收校外调剂考生。</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（八）复试费</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除推免生以外，其他参加复试考生均须缴纳复试费。根据湖南省文件《关于加强我省研究生收费管理的通知》湘发改价费【2018】99号的规定，研究生考生复试费为120元/生（推免生免交）。考生须于3月18日至3月19日通过“中南大学研究生招生管理信息系统”考生入口http://yjszsgl.csu.edu.cn/ksxt/login.aspx网上支付复试费(只支持微信支付）。不按时在网上支付复试费的，不予复试和录取。</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（九）奖助学金指标及学费标准</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（1）奖助学金指标</w:t>
      </w:r>
    </w:p>
    <w:tbl>
      <w:tblPr>
        <w:tblW w:w="8084" w:type="dxa"/>
        <w:tblCellSpacing w:w="15" w:type="dxa"/>
        <w:tblInd w:w="0" w:type="dxa"/>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tblLayout w:type="fixed"/>
        <w:tblCellMar>
          <w:top w:w="0" w:type="dxa"/>
          <w:left w:w="0" w:type="dxa"/>
          <w:bottom w:w="0" w:type="dxa"/>
          <w:right w:w="0" w:type="dxa"/>
        </w:tblCellMar>
      </w:tblPr>
      <w:tblGrid>
        <w:gridCol w:w="1959"/>
        <w:gridCol w:w="2502"/>
        <w:gridCol w:w="3623"/>
      </w:tblGrid>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15" w:type="dxa"/>
        </w:trPr>
        <w:tc>
          <w:tcPr>
            <w:tcW w:w="1914" w:type="dxa"/>
            <w:vMerge w:val="restart"/>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2019年奖助学金指标计划数</w:t>
            </w:r>
          </w:p>
        </w:tc>
        <w:tc>
          <w:tcPr>
            <w:tcW w:w="2472"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一等奖学金</w:t>
            </w:r>
          </w:p>
        </w:tc>
        <w:tc>
          <w:tcPr>
            <w:tcW w:w="3578"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91人（推免生）</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15" w:type="dxa"/>
        </w:trPr>
        <w:tc>
          <w:tcPr>
            <w:tcW w:w="1914" w:type="dxa"/>
            <w:vMerge w:val="continue"/>
            <w:tcBorders>
              <w:top w:val="outset" w:color="000000" w:sz="8" w:space="0"/>
              <w:left w:val="outset" w:color="000000" w:sz="8" w:space="0"/>
              <w:bottom w:val="outset" w:color="000000" w:sz="8" w:space="0"/>
              <w:right w:val="outset" w:color="000000" w:sz="8" w:space="0"/>
            </w:tcBorders>
            <w:shd w:val="clear"/>
            <w:vAlign w:val="top"/>
          </w:tcPr>
          <w:p>
            <w:pPr>
              <w:rPr>
                <w:rFonts w:hint="default" w:ascii="Arial" w:hAnsi="Arial" w:cs="Arial"/>
                <w:i w:val="0"/>
                <w:caps w:val="0"/>
                <w:color w:val="333333"/>
                <w:spacing w:val="0"/>
                <w:sz w:val="18"/>
                <w:szCs w:val="18"/>
              </w:rPr>
            </w:pPr>
          </w:p>
        </w:tc>
        <w:tc>
          <w:tcPr>
            <w:tcW w:w="2472"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二等奖学金</w:t>
            </w:r>
          </w:p>
        </w:tc>
        <w:tc>
          <w:tcPr>
            <w:tcW w:w="3578"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104人</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15" w:type="dxa"/>
        </w:trPr>
        <w:tc>
          <w:tcPr>
            <w:tcW w:w="1914" w:type="dxa"/>
            <w:vMerge w:val="continue"/>
            <w:tcBorders>
              <w:top w:val="outset" w:color="000000" w:sz="8" w:space="0"/>
              <w:left w:val="outset" w:color="000000" w:sz="8" w:space="0"/>
              <w:bottom w:val="outset" w:color="000000" w:sz="8" w:space="0"/>
              <w:right w:val="outset" w:color="000000" w:sz="8" w:space="0"/>
            </w:tcBorders>
            <w:shd w:val="clear"/>
            <w:vAlign w:val="top"/>
          </w:tcPr>
          <w:p>
            <w:pPr>
              <w:rPr>
                <w:rFonts w:hint="default" w:ascii="Arial" w:hAnsi="Arial" w:cs="Arial"/>
                <w:i w:val="0"/>
                <w:caps w:val="0"/>
                <w:color w:val="333333"/>
                <w:spacing w:val="0"/>
                <w:sz w:val="18"/>
                <w:szCs w:val="18"/>
              </w:rPr>
            </w:pPr>
          </w:p>
        </w:tc>
        <w:tc>
          <w:tcPr>
            <w:tcW w:w="2472"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一等助学金</w:t>
            </w:r>
          </w:p>
        </w:tc>
        <w:tc>
          <w:tcPr>
            <w:tcW w:w="3578"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91人（推免生）</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15" w:type="dxa"/>
        </w:trPr>
        <w:tc>
          <w:tcPr>
            <w:tcW w:w="1914" w:type="dxa"/>
            <w:vMerge w:val="continue"/>
            <w:tcBorders>
              <w:top w:val="outset" w:color="000000" w:sz="8" w:space="0"/>
              <w:left w:val="outset" w:color="000000" w:sz="8" w:space="0"/>
              <w:bottom w:val="outset" w:color="000000" w:sz="8" w:space="0"/>
              <w:right w:val="outset" w:color="000000" w:sz="8" w:space="0"/>
            </w:tcBorders>
            <w:shd w:val="clear"/>
            <w:vAlign w:val="top"/>
          </w:tcPr>
          <w:p>
            <w:pPr>
              <w:rPr>
                <w:rFonts w:hint="default" w:ascii="Arial" w:hAnsi="Arial" w:cs="Arial"/>
                <w:i w:val="0"/>
                <w:caps w:val="0"/>
                <w:color w:val="333333"/>
                <w:spacing w:val="0"/>
                <w:sz w:val="18"/>
                <w:szCs w:val="18"/>
              </w:rPr>
            </w:pPr>
          </w:p>
        </w:tc>
        <w:tc>
          <w:tcPr>
            <w:tcW w:w="2472"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二等助学金</w:t>
            </w:r>
          </w:p>
        </w:tc>
        <w:tc>
          <w:tcPr>
            <w:tcW w:w="3578"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104人</w:t>
            </w:r>
          </w:p>
        </w:tc>
      </w:tr>
    </w:tbl>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（2）研究生可同时申报研究生学业奖学金、研究生国家奖学金和各项校级奖励金，但不能同时获得研究生国家奖学金和各项校级奖励金。</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3）研究生学业奖学金按学年进行动态评定。一年级新生学业奖学金分2个等级标准：推免生每生每年1万元，非推免生每生每年0.8万元；新生进校后第二、三学年将根据学习、科研等情况重新评定学业奖学金。高年级分3个等级标准，一等奖每生每年1.2万元，二等奖每生每年0.8万元，三等奖每生每年0.5万元。具体设置等级及奖励标准见下表。</w:t>
      </w:r>
    </w:p>
    <w:p>
      <w:pPr>
        <w:keepNext w:val="0"/>
        <w:keepLines w:val="0"/>
        <w:widowControl/>
        <w:suppressLineNumbers w:val="0"/>
        <w:spacing w:before="300" w:beforeAutospacing="0" w:after="0" w:afterAutospacing="1" w:line="375" w:lineRule="atLeast"/>
        <w:ind w:left="0" w:right="0" w:firstLine="600"/>
        <w:jc w:val="center"/>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研究生学业奖学金设置等级及标准</w:t>
      </w:r>
    </w:p>
    <w:tbl>
      <w:tblPr>
        <w:tblW w:w="8396" w:type="dxa"/>
        <w:jc w:val="center"/>
        <w:tblCellSpacing w:w="15" w:type="dxa"/>
        <w:tblInd w:w="682" w:type="dxa"/>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tblLayout w:type="fixed"/>
        <w:tblCellMar>
          <w:top w:w="0" w:type="dxa"/>
          <w:left w:w="0" w:type="dxa"/>
          <w:bottom w:w="0" w:type="dxa"/>
          <w:right w:w="0" w:type="dxa"/>
        </w:tblCellMar>
      </w:tblPr>
      <w:tblGrid>
        <w:gridCol w:w="1517"/>
        <w:gridCol w:w="1355"/>
        <w:gridCol w:w="1765"/>
        <w:gridCol w:w="1504"/>
        <w:gridCol w:w="2255"/>
      </w:tblGrid>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15" w:type="dxa"/>
          <w:jc w:val="center"/>
        </w:trPr>
        <w:tc>
          <w:tcPr>
            <w:tcW w:w="2827" w:type="dxa"/>
            <w:gridSpan w:val="2"/>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培养类别</w:t>
            </w:r>
          </w:p>
        </w:tc>
        <w:tc>
          <w:tcPr>
            <w:tcW w:w="1735"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等级</w:t>
            </w:r>
          </w:p>
        </w:tc>
        <w:tc>
          <w:tcPr>
            <w:tcW w:w="1474"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获奖比例</w:t>
            </w:r>
          </w:p>
        </w:tc>
        <w:tc>
          <w:tcPr>
            <w:tcW w:w="2210"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奖励标准（万元）</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15" w:type="dxa"/>
          <w:jc w:val="center"/>
        </w:trPr>
        <w:tc>
          <w:tcPr>
            <w:tcW w:w="1472" w:type="dxa"/>
            <w:vMerge w:val="restart"/>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全日制</w:t>
            </w:r>
          </w:p>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硕士研究生</w:t>
            </w:r>
          </w:p>
        </w:tc>
        <w:tc>
          <w:tcPr>
            <w:tcW w:w="1325" w:type="dxa"/>
            <w:vMerge w:val="restart"/>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新生</w:t>
            </w:r>
          </w:p>
        </w:tc>
        <w:tc>
          <w:tcPr>
            <w:tcW w:w="1735"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推免生</w:t>
            </w:r>
          </w:p>
        </w:tc>
        <w:tc>
          <w:tcPr>
            <w:tcW w:w="1474"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 </w:t>
            </w:r>
          </w:p>
        </w:tc>
        <w:tc>
          <w:tcPr>
            <w:tcW w:w="2210"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1.0</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15" w:type="dxa"/>
          <w:jc w:val="center"/>
        </w:trPr>
        <w:tc>
          <w:tcPr>
            <w:tcW w:w="1472" w:type="dxa"/>
            <w:vMerge w:val="continue"/>
            <w:tcBorders>
              <w:top w:val="outset" w:color="000000" w:sz="8" w:space="0"/>
              <w:left w:val="outset" w:color="000000" w:sz="8" w:space="0"/>
              <w:bottom w:val="outset" w:color="000000" w:sz="8" w:space="0"/>
              <w:right w:val="outset" w:color="000000" w:sz="8" w:space="0"/>
            </w:tcBorders>
            <w:shd w:val="clear"/>
            <w:vAlign w:val="top"/>
          </w:tcPr>
          <w:p>
            <w:pPr>
              <w:rPr>
                <w:rFonts w:hint="eastAsia" w:ascii="宋体"/>
                <w:sz w:val="24"/>
                <w:szCs w:val="24"/>
              </w:rPr>
            </w:pPr>
          </w:p>
        </w:tc>
        <w:tc>
          <w:tcPr>
            <w:tcW w:w="1325" w:type="dxa"/>
            <w:vMerge w:val="continue"/>
            <w:tcBorders>
              <w:top w:val="outset" w:color="000000" w:sz="8" w:space="0"/>
              <w:left w:val="outset" w:color="000000" w:sz="8" w:space="0"/>
              <w:bottom w:val="outset" w:color="000000" w:sz="8" w:space="0"/>
              <w:right w:val="outset" w:color="000000" w:sz="8" w:space="0"/>
            </w:tcBorders>
            <w:shd w:val="clear"/>
            <w:vAlign w:val="top"/>
          </w:tcPr>
          <w:p>
            <w:pPr>
              <w:rPr>
                <w:rFonts w:hint="eastAsia" w:ascii="宋体"/>
                <w:sz w:val="24"/>
                <w:szCs w:val="24"/>
              </w:rPr>
            </w:pPr>
          </w:p>
        </w:tc>
        <w:tc>
          <w:tcPr>
            <w:tcW w:w="1735"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非推免生</w:t>
            </w:r>
          </w:p>
        </w:tc>
        <w:tc>
          <w:tcPr>
            <w:tcW w:w="1474"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 </w:t>
            </w:r>
          </w:p>
        </w:tc>
        <w:tc>
          <w:tcPr>
            <w:tcW w:w="2210"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0.8</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15" w:type="dxa"/>
          <w:jc w:val="center"/>
        </w:trPr>
        <w:tc>
          <w:tcPr>
            <w:tcW w:w="1472" w:type="dxa"/>
            <w:vMerge w:val="continue"/>
            <w:tcBorders>
              <w:top w:val="outset" w:color="000000" w:sz="8" w:space="0"/>
              <w:left w:val="outset" w:color="000000" w:sz="8" w:space="0"/>
              <w:bottom w:val="outset" w:color="000000" w:sz="8" w:space="0"/>
              <w:right w:val="outset" w:color="000000" w:sz="8" w:space="0"/>
            </w:tcBorders>
            <w:shd w:val="clear"/>
            <w:vAlign w:val="top"/>
          </w:tcPr>
          <w:p>
            <w:pPr>
              <w:rPr>
                <w:rFonts w:hint="eastAsia" w:ascii="宋体"/>
                <w:sz w:val="24"/>
                <w:szCs w:val="24"/>
              </w:rPr>
            </w:pPr>
          </w:p>
        </w:tc>
        <w:tc>
          <w:tcPr>
            <w:tcW w:w="1325" w:type="dxa"/>
            <w:vMerge w:val="restart"/>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高年级</w:t>
            </w:r>
          </w:p>
        </w:tc>
        <w:tc>
          <w:tcPr>
            <w:tcW w:w="1735"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一等</w:t>
            </w:r>
          </w:p>
        </w:tc>
        <w:tc>
          <w:tcPr>
            <w:tcW w:w="1474"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30%</w:t>
            </w:r>
          </w:p>
        </w:tc>
        <w:tc>
          <w:tcPr>
            <w:tcW w:w="2210"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1.2</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15" w:type="dxa"/>
          <w:jc w:val="center"/>
        </w:trPr>
        <w:tc>
          <w:tcPr>
            <w:tcW w:w="1472" w:type="dxa"/>
            <w:vMerge w:val="continue"/>
            <w:tcBorders>
              <w:top w:val="outset" w:color="000000" w:sz="8" w:space="0"/>
              <w:left w:val="outset" w:color="000000" w:sz="8" w:space="0"/>
              <w:bottom w:val="outset" w:color="000000" w:sz="8" w:space="0"/>
              <w:right w:val="outset" w:color="000000" w:sz="8" w:space="0"/>
            </w:tcBorders>
            <w:shd w:val="clear"/>
            <w:vAlign w:val="top"/>
          </w:tcPr>
          <w:p>
            <w:pPr>
              <w:rPr>
                <w:rFonts w:hint="eastAsia" w:ascii="宋体"/>
                <w:sz w:val="24"/>
                <w:szCs w:val="24"/>
              </w:rPr>
            </w:pPr>
          </w:p>
        </w:tc>
        <w:tc>
          <w:tcPr>
            <w:tcW w:w="1325" w:type="dxa"/>
            <w:vMerge w:val="continue"/>
            <w:tcBorders>
              <w:top w:val="outset" w:color="000000" w:sz="8" w:space="0"/>
              <w:left w:val="outset" w:color="000000" w:sz="8" w:space="0"/>
              <w:bottom w:val="outset" w:color="000000" w:sz="8" w:space="0"/>
              <w:right w:val="outset" w:color="000000" w:sz="8" w:space="0"/>
            </w:tcBorders>
            <w:shd w:val="clear"/>
            <w:vAlign w:val="top"/>
          </w:tcPr>
          <w:p>
            <w:pPr>
              <w:rPr>
                <w:rFonts w:hint="eastAsia" w:ascii="宋体"/>
                <w:sz w:val="24"/>
                <w:szCs w:val="24"/>
              </w:rPr>
            </w:pPr>
          </w:p>
        </w:tc>
        <w:tc>
          <w:tcPr>
            <w:tcW w:w="1735"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二等</w:t>
            </w:r>
          </w:p>
        </w:tc>
        <w:tc>
          <w:tcPr>
            <w:tcW w:w="1474"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60%</w:t>
            </w:r>
          </w:p>
        </w:tc>
        <w:tc>
          <w:tcPr>
            <w:tcW w:w="2210"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0.8</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Layout w:type="fixed"/>
          <w:tblCellMar>
            <w:top w:w="0" w:type="dxa"/>
            <w:left w:w="0" w:type="dxa"/>
            <w:bottom w:w="0" w:type="dxa"/>
            <w:right w:w="0" w:type="dxa"/>
          </w:tblCellMar>
        </w:tblPrEx>
        <w:trPr>
          <w:tblCellSpacing w:w="15" w:type="dxa"/>
          <w:jc w:val="center"/>
        </w:trPr>
        <w:tc>
          <w:tcPr>
            <w:tcW w:w="1472" w:type="dxa"/>
            <w:vMerge w:val="continue"/>
            <w:tcBorders>
              <w:top w:val="outset" w:color="000000" w:sz="8" w:space="0"/>
              <w:left w:val="outset" w:color="000000" w:sz="8" w:space="0"/>
              <w:bottom w:val="outset" w:color="000000" w:sz="8" w:space="0"/>
              <w:right w:val="outset" w:color="000000" w:sz="8" w:space="0"/>
            </w:tcBorders>
            <w:shd w:val="clear"/>
            <w:vAlign w:val="top"/>
          </w:tcPr>
          <w:p>
            <w:pPr>
              <w:rPr>
                <w:rFonts w:hint="eastAsia" w:ascii="宋体"/>
                <w:sz w:val="24"/>
                <w:szCs w:val="24"/>
              </w:rPr>
            </w:pPr>
          </w:p>
        </w:tc>
        <w:tc>
          <w:tcPr>
            <w:tcW w:w="1325" w:type="dxa"/>
            <w:vMerge w:val="continue"/>
            <w:tcBorders>
              <w:top w:val="outset" w:color="000000" w:sz="8" w:space="0"/>
              <w:left w:val="outset" w:color="000000" w:sz="8" w:space="0"/>
              <w:bottom w:val="outset" w:color="000000" w:sz="8" w:space="0"/>
              <w:right w:val="outset" w:color="000000" w:sz="8" w:space="0"/>
            </w:tcBorders>
            <w:shd w:val="clear"/>
            <w:vAlign w:val="top"/>
          </w:tcPr>
          <w:p>
            <w:pPr>
              <w:rPr>
                <w:rFonts w:hint="eastAsia" w:ascii="宋体"/>
                <w:sz w:val="24"/>
                <w:szCs w:val="24"/>
              </w:rPr>
            </w:pPr>
          </w:p>
        </w:tc>
        <w:tc>
          <w:tcPr>
            <w:tcW w:w="1735"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三等</w:t>
            </w:r>
          </w:p>
        </w:tc>
        <w:tc>
          <w:tcPr>
            <w:tcW w:w="1474"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10%</w:t>
            </w:r>
          </w:p>
        </w:tc>
        <w:tc>
          <w:tcPr>
            <w:tcW w:w="2210"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0.5</w:t>
            </w:r>
          </w:p>
        </w:tc>
      </w:tr>
    </w:tbl>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（4）全日制全脱产研究生（人事档案和工资关系转入学校、含 “骨干计划”考生）可享受研究生国家助学金：推免生为8000元/生.年；非推免生为6000元/生.年。</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（5）获得奖学金的新生须按录取通知书中规定的时间先缴纳学费，入学后学校根据录取时确定的奖学金等级发放奖学金，但人事档案、工资关系未按时转入我校的新生，将被取消奖、助学金。</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（6）2019年全日制收费标准如下。</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国家规定所有纳入招生计划的硕士研究生都要缴纳学费。根据《湖南省发展和改革委员会、湖南省财政厅、湖南省教育厅关于加强我省研究生收费管理的通知》（湘发改价费[2018]99号）以及国家有关研究生奖助政策，并结合本校实际确定我校2019年硕士研究生新生学费标准及奖助学金政策（见附件4）。</w:t>
      </w:r>
    </w:p>
    <w:p>
      <w:pPr>
        <w:keepNext w:val="0"/>
        <w:keepLines w:val="0"/>
        <w:widowControl/>
        <w:suppressLineNumbers w:val="0"/>
        <w:spacing w:before="300" w:beforeAutospacing="0" w:after="0" w:afterAutospacing="1" w:line="375" w:lineRule="atLeast"/>
        <w:ind w:left="0" w:right="0" w:firstLine="0"/>
        <w:jc w:val="center"/>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2019年全日制研究生学费标准（单位：元/人.年）</w:t>
      </w:r>
    </w:p>
    <w:tbl>
      <w:tblPr>
        <w:tblW w:w="8396" w:type="dxa"/>
        <w:jc w:val="center"/>
        <w:tblCellSpacing w:w="15" w:type="dxa"/>
        <w:tblInd w:w="682" w:type="dxa"/>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tblLayout w:type="fixed"/>
        <w:tblCellMar>
          <w:top w:w="0" w:type="dxa"/>
          <w:left w:w="0" w:type="dxa"/>
          <w:bottom w:w="0" w:type="dxa"/>
          <w:right w:w="0" w:type="dxa"/>
        </w:tblCellMar>
      </w:tblPr>
      <w:tblGrid>
        <w:gridCol w:w="3927"/>
        <w:gridCol w:w="1987"/>
        <w:gridCol w:w="1210"/>
        <w:gridCol w:w="1272"/>
      </w:tblGrid>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15" w:type="dxa"/>
          <w:jc w:val="center"/>
        </w:trPr>
        <w:tc>
          <w:tcPr>
            <w:tcW w:w="5869" w:type="dxa"/>
            <w:gridSpan w:val="2"/>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firstLine="2891"/>
              <w:jc w:val="both"/>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类别</w:t>
            </w:r>
          </w:p>
        </w:tc>
        <w:tc>
          <w:tcPr>
            <w:tcW w:w="1180"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学费</w:t>
            </w:r>
          </w:p>
        </w:tc>
        <w:tc>
          <w:tcPr>
            <w:tcW w:w="1227"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学制</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15" w:type="dxa"/>
          <w:jc w:val="center"/>
        </w:trPr>
        <w:tc>
          <w:tcPr>
            <w:tcW w:w="5869" w:type="dxa"/>
            <w:gridSpan w:val="2"/>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全日制学术型专业</w:t>
            </w:r>
          </w:p>
        </w:tc>
        <w:tc>
          <w:tcPr>
            <w:tcW w:w="1180"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8000</w:t>
            </w:r>
          </w:p>
        </w:tc>
        <w:tc>
          <w:tcPr>
            <w:tcW w:w="1227"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3年</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15" w:type="dxa"/>
          <w:jc w:val="center"/>
        </w:trPr>
        <w:tc>
          <w:tcPr>
            <w:tcW w:w="3882"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全日制专业学位专业</w:t>
            </w:r>
          </w:p>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 </w:t>
            </w:r>
          </w:p>
        </w:tc>
        <w:tc>
          <w:tcPr>
            <w:tcW w:w="1957"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工学类（08）</w:t>
            </w:r>
          </w:p>
        </w:tc>
        <w:tc>
          <w:tcPr>
            <w:tcW w:w="1180"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12000</w:t>
            </w:r>
          </w:p>
        </w:tc>
        <w:tc>
          <w:tcPr>
            <w:tcW w:w="1227" w:type="dxa"/>
            <w:tcBorders>
              <w:top w:val="outset" w:color="000000" w:sz="8" w:space="0"/>
              <w:left w:val="outset" w:color="000000" w:sz="8" w:space="0"/>
              <w:bottom w:val="outset" w:color="000000" w:sz="8" w:space="0"/>
              <w:right w:val="outset" w:color="000000" w:sz="8" w:space="0"/>
            </w:tcBorders>
            <w:shd w:val="clear"/>
            <w:vAlign w:val="top"/>
          </w:tcPr>
          <w:p>
            <w:pPr>
              <w:keepNext w:val="0"/>
              <w:keepLines w:val="0"/>
              <w:widowControl/>
              <w:suppressLineNumbers w:val="0"/>
              <w:spacing w:before="0" w:beforeAutospacing="1" w:after="0" w:afterAutospacing="1"/>
              <w:ind w:left="0" w:right="0"/>
              <w:jc w:val="center"/>
              <w:rPr>
                <w:rFonts w:hint="eastAsia" w:ascii="微软雅黑" w:hAnsi="微软雅黑" w:eastAsia="微软雅黑" w:cs="微软雅黑"/>
                <w:sz w:val="20"/>
                <w:szCs w:val="20"/>
              </w:rPr>
            </w:pPr>
            <w:r>
              <w:rPr>
                <w:rFonts w:hint="eastAsia" w:ascii="仿宋" w:hAnsi="仿宋" w:eastAsia="仿宋" w:cs="仿宋"/>
                <w:b/>
                <w:kern w:val="0"/>
                <w:sz w:val="24"/>
                <w:szCs w:val="24"/>
                <w:lang w:val="en-US" w:eastAsia="zh-CN" w:bidi="ar"/>
              </w:rPr>
              <w:t>3年</w:t>
            </w:r>
          </w:p>
        </w:tc>
      </w:tr>
    </w:tbl>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b/>
          <w:i w:val="0"/>
          <w:caps w:val="0"/>
          <w:color w:val="333333"/>
          <w:spacing w:val="0"/>
          <w:kern w:val="0"/>
          <w:sz w:val="20"/>
          <w:szCs w:val="20"/>
          <w:lang w:val="en-US" w:eastAsia="zh-CN" w:bidi="ar"/>
        </w:rPr>
      </w:pP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（十）复试时间及地点（所有参加笔试考生要准备答题用具、计算器等）</w:t>
      </w:r>
    </w:p>
    <w:tbl>
      <w:tblPr>
        <w:tblW w:w="9270"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366"/>
        <w:gridCol w:w="540"/>
        <w:gridCol w:w="3588"/>
        <w:gridCol w:w="1066"/>
        <w:gridCol w:w="27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912" w:hRule="atLeast"/>
          <w:tblCellSpacing w:w="0" w:type="dxa"/>
        </w:trPr>
        <w:tc>
          <w:tcPr>
            <w:tcW w:w="1366" w:type="dxa"/>
            <w:vMerge w:val="restart"/>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 </w:t>
            </w:r>
          </w:p>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 </w:t>
            </w:r>
          </w:p>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3月26日（周二）</w:t>
            </w:r>
          </w:p>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 </w:t>
            </w:r>
          </w:p>
        </w:tc>
        <w:tc>
          <w:tcPr>
            <w:tcW w:w="540" w:type="dxa"/>
            <w:vMerge w:val="restart"/>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 </w:t>
            </w:r>
          </w:p>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 </w:t>
            </w:r>
          </w:p>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上午</w:t>
            </w:r>
          </w:p>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 </w:t>
            </w:r>
          </w:p>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 </w:t>
            </w:r>
          </w:p>
        </w:tc>
        <w:tc>
          <w:tcPr>
            <w:tcW w:w="3588"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8:10-8:20 复试前说明会</w:t>
            </w:r>
          </w:p>
        </w:tc>
        <w:tc>
          <w:tcPr>
            <w:tcW w:w="1066"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B214报告厅</w:t>
            </w:r>
          </w:p>
        </w:tc>
        <w:tc>
          <w:tcPr>
            <w:tcW w:w="2710" w:type="dxa"/>
            <w:vMerge w:val="restart"/>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 </w:t>
            </w:r>
          </w:p>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所有统考生（请务必随身携带身份证！）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366"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c>
          <w:tcPr>
            <w:tcW w:w="540"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c>
          <w:tcPr>
            <w:tcW w:w="3588"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8:30—10:00资格审查</w:t>
            </w:r>
          </w:p>
        </w:tc>
        <w:tc>
          <w:tcPr>
            <w:tcW w:w="1066"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C座502  C座503  C座504</w:t>
            </w:r>
          </w:p>
        </w:tc>
        <w:tc>
          <w:tcPr>
            <w:tcW w:w="2710"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366"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c>
          <w:tcPr>
            <w:tcW w:w="540"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c>
          <w:tcPr>
            <w:tcW w:w="3588"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10:30-11:10心理素质测试1组</w:t>
            </w:r>
          </w:p>
        </w:tc>
        <w:tc>
          <w:tcPr>
            <w:tcW w:w="1066"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D座306机房</w:t>
            </w:r>
          </w:p>
        </w:tc>
        <w:tc>
          <w:tcPr>
            <w:tcW w:w="2710" w:type="dxa"/>
            <w:vMerge w:val="restart"/>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 </w:t>
            </w:r>
          </w:p>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所有统考生（综合考核生除外）（请务必随身携带身份证！）</w:t>
            </w:r>
          </w:p>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 </w:t>
            </w:r>
          </w:p>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 </w:t>
            </w:r>
          </w:p>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366"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c>
          <w:tcPr>
            <w:tcW w:w="540"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c>
          <w:tcPr>
            <w:tcW w:w="3588"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11:20-11:50心理素质测试2组</w:t>
            </w:r>
          </w:p>
        </w:tc>
        <w:tc>
          <w:tcPr>
            <w:tcW w:w="1066"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D座306机房</w:t>
            </w:r>
          </w:p>
        </w:tc>
        <w:tc>
          <w:tcPr>
            <w:tcW w:w="2710"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366"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c>
          <w:tcPr>
            <w:tcW w:w="540"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下午</w:t>
            </w:r>
          </w:p>
        </w:tc>
        <w:tc>
          <w:tcPr>
            <w:tcW w:w="3588"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 </w:t>
            </w:r>
          </w:p>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14:30-17:30 专业综合笔试</w:t>
            </w:r>
          </w:p>
        </w:tc>
        <w:tc>
          <w:tcPr>
            <w:tcW w:w="1066"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C座502  C座503  C座504</w:t>
            </w:r>
          </w:p>
        </w:tc>
        <w:tc>
          <w:tcPr>
            <w:tcW w:w="2710"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366" w:type="dxa"/>
            <w:vMerge w:val="restart"/>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 </w:t>
            </w:r>
          </w:p>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3月27日（周三）</w:t>
            </w:r>
          </w:p>
        </w:tc>
        <w:tc>
          <w:tcPr>
            <w:tcW w:w="540" w:type="dxa"/>
            <w:vMerge w:val="restart"/>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上午</w:t>
            </w:r>
          </w:p>
        </w:tc>
        <w:tc>
          <w:tcPr>
            <w:tcW w:w="3588"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8:30-12:00英语面试</w:t>
            </w:r>
          </w:p>
        </w:tc>
        <w:tc>
          <w:tcPr>
            <w:tcW w:w="1066" w:type="dxa"/>
            <w:vMerge w:val="restart"/>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分组名单详见一楼大厅</w:t>
            </w:r>
          </w:p>
        </w:tc>
        <w:tc>
          <w:tcPr>
            <w:tcW w:w="2710"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366"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c>
          <w:tcPr>
            <w:tcW w:w="540"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c>
          <w:tcPr>
            <w:tcW w:w="3588"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8:30-12:30专业综合面试</w:t>
            </w:r>
          </w:p>
        </w:tc>
        <w:tc>
          <w:tcPr>
            <w:tcW w:w="1066"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c>
          <w:tcPr>
            <w:tcW w:w="2710"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366"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c>
          <w:tcPr>
            <w:tcW w:w="540" w:type="dxa"/>
            <w:vMerge w:val="restart"/>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下午</w:t>
            </w:r>
          </w:p>
        </w:tc>
        <w:tc>
          <w:tcPr>
            <w:tcW w:w="3588"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14:30-18:00英语面试</w:t>
            </w:r>
          </w:p>
        </w:tc>
        <w:tc>
          <w:tcPr>
            <w:tcW w:w="1066"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c>
          <w:tcPr>
            <w:tcW w:w="2710"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366"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c>
          <w:tcPr>
            <w:tcW w:w="540"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c>
          <w:tcPr>
            <w:tcW w:w="3588"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spacing w:before="0" w:beforeAutospacing="1" w:after="0" w:afterAutospacing="1"/>
              <w:ind w:left="0" w:right="0"/>
              <w:jc w:val="both"/>
              <w:rPr>
                <w:rFonts w:hint="eastAsia" w:ascii="微软雅黑" w:hAnsi="微软雅黑" w:eastAsia="微软雅黑" w:cs="微软雅黑"/>
                <w:sz w:val="20"/>
                <w:szCs w:val="20"/>
              </w:rPr>
            </w:pPr>
            <w:r>
              <w:rPr>
                <w:rFonts w:hint="eastAsia" w:ascii="仿宋" w:hAnsi="仿宋" w:eastAsia="仿宋" w:cs="仿宋"/>
                <w:b/>
                <w:i w:val="0"/>
                <w:caps w:val="0"/>
                <w:color w:val="333333"/>
                <w:spacing w:val="0"/>
                <w:kern w:val="0"/>
                <w:sz w:val="24"/>
                <w:szCs w:val="24"/>
                <w:lang w:val="en-US" w:eastAsia="zh-CN" w:bidi="ar"/>
              </w:rPr>
              <w:t>14:00-18:00专业综合面试</w:t>
            </w:r>
          </w:p>
        </w:tc>
        <w:tc>
          <w:tcPr>
            <w:tcW w:w="1066"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c>
          <w:tcPr>
            <w:tcW w:w="2710" w:type="dxa"/>
            <w:vMerge w:val="continue"/>
            <w:tcBorders>
              <w:top w:val="double" w:color="auto" w:sz="2" w:space="0"/>
              <w:left w:val="double" w:color="auto" w:sz="2" w:space="0"/>
              <w:bottom w:val="double" w:color="auto" w:sz="2" w:space="0"/>
              <w:right w:val="double" w:color="auto" w:sz="2" w:space="0"/>
            </w:tcBorders>
            <w:shd w:val="clear"/>
            <w:vAlign w:val="top"/>
          </w:tcPr>
          <w:p>
            <w:pPr>
              <w:rPr>
                <w:rFonts w:hint="default" w:ascii="Arial" w:hAnsi="Arial" w:cs="Arial"/>
                <w:i w:val="0"/>
                <w:caps w:val="0"/>
                <w:color w:val="333333"/>
                <w:spacing w:val="0"/>
                <w:sz w:val="18"/>
                <w:szCs w:val="18"/>
              </w:rPr>
            </w:pPr>
          </w:p>
        </w:tc>
      </w:tr>
    </w:tbl>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（十一）拟录取硕士研究生填写政审表，在附件2中下载，在规定时间中上交.政审表中填写考生思想政治和现实表现（由考生所在党委或总支填写），并加盖所在学院单位公章。</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（十二）复试期间3月26日、27日B214会议室全天开放，作为考生休息室，请考生保持安静、注意保持环境卫生，将垃圾随手带走。</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（十三）咨询、投诉受理联系人和联系电话。</w:t>
      </w:r>
    </w:p>
    <w:p>
      <w:pPr>
        <w:keepNext w:val="0"/>
        <w:keepLines w:val="0"/>
        <w:widowControl/>
        <w:suppressLineNumbers w:val="0"/>
        <w:spacing w:before="300" w:beforeAutospacing="0" w:after="0" w:afterAutospacing="1" w:line="375" w:lineRule="atLeast"/>
        <w:ind w:left="0" w:right="0" w:firstLine="48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机电工程学院研究生管理办公室，地点：中南大学（新校区）机电工程学院B206，联系方式：莫老师  0731-88877381</w:t>
      </w:r>
    </w:p>
    <w:p>
      <w:pPr>
        <w:keepNext w:val="0"/>
        <w:keepLines w:val="0"/>
        <w:widowControl/>
        <w:suppressLineNumbers w:val="0"/>
        <w:spacing w:before="300" w:beforeAutospacing="0" w:after="0" w:afterAutospacing="1" w:line="375" w:lineRule="atLeast"/>
        <w:ind w:left="0" w:right="0" w:firstLine="5542"/>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机电工程学院</w:t>
      </w:r>
    </w:p>
    <w:p>
      <w:pPr>
        <w:keepNext w:val="0"/>
        <w:keepLines w:val="0"/>
        <w:widowControl/>
        <w:suppressLineNumbers w:val="0"/>
        <w:spacing w:before="300" w:beforeAutospacing="0" w:after="0" w:afterAutospacing="1" w:line="375" w:lineRule="atLeast"/>
        <w:ind w:right="0" w:firstLine="5203" w:firstLineChars="2600"/>
        <w:jc w:val="both"/>
        <w:rPr>
          <w:rFonts w:hint="eastAsia" w:ascii="微软雅黑" w:hAnsi="微软雅黑" w:eastAsia="微软雅黑" w:cs="微软雅黑"/>
          <w:i w:val="0"/>
          <w:caps w:val="0"/>
          <w:color w:val="333333"/>
          <w:spacing w:val="0"/>
          <w:sz w:val="20"/>
          <w:szCs w:val="20"/>
        </w:rPr>
      </w:pPr>
      <w:bookmarkStart w:id="0" w:name="_GoBack"/>
      <w:bookmarkEnd w:id="0"/>
      <w:r>
        <w:rPr>
          <w:rFonts w:hint="eastAsia" w:ascii="微软雅黑" w:hAnsi="微软雅黑" w:eastAsia="微软雅黑" w:cs="微软雅黑"/>
          <w:b/>
          <w:i w:val="0"/>
          <w:caps w:val="0"/>
          <w:color w:val="333333"/>
          <w:spacing w:val="0"/>
          <w:kern w:val="0"/>
          <w:sz w:val="20"/>
          <w:szCs w:val="20"/>
          <w:lang w:val="en-US" w:eastAsia="zh-CN" w:bidi="ar"/>
        </w:rPr>
        <w:t>2019年3月20日</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b/>
          <w:i w:val="0"/>
          <w:caps w:val="0"/>
          <w:color w:val="333333"/>
          <w:spacing w:val="0"/>
          <w:kern w:val="0"/>
          <w:sz w:val="20"/>
          <w:szCs w:val="20"/>
          <w:lang w:val="en-US" w:eastAsia="zh-CN" w:bidi="ar"/>
        </w:rPr>
        <w:t> </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lang w:val="en-US" w:eastAsia="zh-CN" w:bidi="ar"/>
        </w:rPr>
        <w:t>附件1：2019关于博、硕士研究生指导教师认定和招生录取工作中加强思想政治把关的有关规定（试行）</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lang w:val="en-US" w:eastAsia="zh-CN" w:bidi="ar"/>
        </w:rPr>
        <w:t>附件2：2019年中南大学拟录取硕士研究生政审表</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lang w:val="en-US" w:eastAsia="zh-CN" w:bidi="ar"/>
        </w:rPr>
        <w:t>附件3：中南大学关于2019年硕士研究生招生复试和录取工作的通知</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lang w:val="en-US" w:eastAsia="zh-CN" w:bidi="ar"/>
        </w:rPr>
        <w:t>附件4：中南大学2019年硕士研究生新生奖助学金政策及学费标准</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lang w:val="en-US" w:eastAsia="zh-CN" w:bidi="ar"/>
        </w:rPr>
        <w:t>附件5：中南大学校内调剂政策和要求</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lang w:val="en-US" w:eastAsia="zh-CN" w:bidi="ar"/>
        </w:rPr>
        <w:t>附件6：2019年机电工程学院硕士研究生笔试专业课目录</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lang w:val="en-US" w:eastAsia="zh-CN" w:bidi="ar"/>
        </w:rPr>
        <w:t>附件7： 2019年机电工程学院考生政治思想及自述自评表</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lang w:val="en-US" w:eastAsia="zh-CN" w:bidi="ar"/>
        </w:rPr>
        <w:t>附件8-1 ：机电工程学院2019年统考生上线名单</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lang w:val="en-US" w:eastAsia="zh-CN" w:bidi="ar"/>
        </w:rPr>
        <w:t>附件8-2：机电工程学院2019年综合选拔生上线名单</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lang w:val="en-US" w:eastAsia="zh-CN" w:bidi="ar"/>
        </w:rPr>
        <w:t>附件8-3：机电工程学院2019年推荐免试生名单</w:t>
      </w:r>
    </w:p>
    <w:p>
      <w:pPr>
        <w:keepNext w:val="0"/>
        <w:keepLines w:val="0"/>
        <w:widowControl/>
        <w:suppressLineNumbers w:val="0"/>
        <w:spacing w:before="300" w:beforeAutospacing="0" w:after="0" w:afterAutospacing="1" w:line="375" w:lineRule="atLeast"/>
        <w:ind w:left="0" w:right="0" w:firstLine="0"/>
        <w:jc w:val="both"/>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lang w:val="en-US" w:eastAsia="zh-CN" w:bidi="ar"/>
        </w:rPr>
        <w:t>附件8-4：机电工程学院2019年专项计划上线名单</w:t>
      </w:r>
    </w:p>
    <w:p>
      <w:pPr>
        <w:keepNext w:val="0"/>
        <w:keepLines w:val="0"/>
        <w:widowControl/>
        <w:suppressLineNumbers w:val="0"/>
        <w:spacing w:before="300" w:beforeAutospacing="0"/>
        <w:jc w:val="left"/>
      </w:pPr>
    </w:p>
    <w:p>
      <w:pPr>
        <w:rPr>
          <w:rFonts w:hint="eastAsia"/>
        </w:rPr>
      </w:pPr>
    </w:p>
    <w:sectPr>
      <w:pgSz w:w="11906" w:h="16838"/>
      <w:pgMar w:top="1040" w:right="1066" w:bottom="458" w:left="118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6182E"/>
    <w:rsid w:val="01082D30"/>
    <w:rsid w:val="014F4059"/>
    <w:rsid w:val="01D320B7"/>
    <w:rsid w:val="026334FD"/>
    <w:rsid w:val="026748AC"/>
    <w:rsid w:val="027212F4"/>
    <w:rsid w:val="0277459F"/>
    <w:rsid w:val="03020E2A"/>
    <w:rsid w:val="03563B46"/>
    <w:rsid w:val="03D97B41"/>
    <w:rsid w:val="04292169"/>
    <w:rsid w:val="042A44C6"/>
    <w:rsid w:val="055D7043"/>
    <w:rsid w:val="058C5318"/>
    <w:rsid w:val="06094D57"/>
    <w:rsid w:val="06750701"/>
    <w:rsid w:val="06A45F19"/>
    <w:rsid w:val="06B9239F"/>
    <w:rsid w:val="0784604C"/>
    <w:rsid w:val="07FE63C4"/>
    <w:rsid w:val="08E83998"/>
    <w:rsid w:val="09231C0C"/>
    <w:rsid w:val="09360361"/>
    <w:rsid w:val="095C76F4"/>
    <w:rsid w:val="09FC7CE6"/>
    <w:rsid w:val="0ACF0229"/>
    <w:rsid w:val="0B081AEE"/>
    <w:rsid w:val="0B502E1D"/>
    <w:rsid w:val="0B8B65C2"/>
    <w:rsid w:val="0BEA2C5A"/>
    <w:rsid w:val="0D764C20"/>
    <w:rsid w:val="0DB531DB"/>
    <w:rsid w:val="0E72089D"/>
    <w:rsid w:val="0E8C2D92"/>
    <w:rsid w:val="0F050DBE"/>
    <w:rsid w:val="0F344D05"/>
    <w:rsid w:val="0F537320"/>
    <w:rsid w:val="0FB35A03"/>
    <w:rsid w:val="108C2723"/>
    <w:rsid w:val="111E47B4"/>
    <w:rsid w:val="11BC343F"/>
    <w:rsid w:val="11E101FF"/>
    <w:rsid w:val="122E2C75"/>
    <w:rsid w:val="125144DF"/>
    <w:rsid w:val="12E131CF"/>
    <w:rsid w:val="149F5C52"/>
    <w:rsid w:val="151B03A4"/>
    <w:rsid w:val="154C2007"/>
    <w:rsid w:val="15941CD0"/>
    <w:rsid w:val="159B1BB1"/>
    <w:rsid w:val="15B6723B"/>
    <w:rsid w:val="15C51055"/>
    <w:rsid w:val="15E70E6C"/>
    <w:rsid w:val="1612534B"/>
    <w:rsid w:val="164C6766"/>
    <w:rsid w:val="16852150"/>
    <w:rsid w:val="16AF6E45"/>
    <w:rsid w:val="17693CD5"/>
    <w:rsid w:val="176B4137"/>
    <w:rsid w:val="18774169"/>
    <w:rsid w:val="19E65806"/>
    <w:rsid w:val="19E874A4"/>
    <w:rsid w:val="1A2B3454"/>
    <w:rsid w:val="1A541237"/>
    <w:rsid w:val="1A7B3917"/>
    <w:rsid w:val="1A9D5712"/>
    <w:rsid w:val="1AAC5F82"/>
    <w:rsid w:val="1AAF52F6"/>
    <w:rsid w:val="1AE3543C"/>
    <w:rsid w:val="1B0969D8"/>
    <w:rsid w:val="1B1A6C22"/>
    <w:rsid w:val="1B403A54"/>
    <w:rsid w:val="1B472A50"/>
    <w:rsid w:val="1B477431"/>
    <w:rsid w:val="1B801896"/>
    <w:rsid w:val="1B8B36DE"/>
    <w:rsid w:val="1BC7205E"/>
    <w:rsid w:val="1C0F04CD"/>
    <w:rsid w:val="1C0F7258"/>
    <w:rsid w:val="1C595AE3"/>
    <w:rsid w:val="1C5A42EE"/>
    <w:rsid w:val="1CE30153"/>
    <w:rsid w:val="1D2A1C73"/>
    <w:rsid w:val="1E23019A"/>
    <w:rsid w:val="1E3C6FDB"/>
    <w:rsid w:val="1EA81B89"/>
    <w:rsid w:val="1F701186"/>
    <w:rsid w:val="1FA20971"/>
    <w:rsid w:val="1FB85CE9"/>
    <w:rsid w:val="2055085C"/>
    <w:rsid w:val="20DF3F2B"/>
    <w:rsid w:val="20E058E6"/>
    <w:rsid w:val="225B3CE1"/>
    <w:rsid w:val="22785B64"/>
    <w:rsid w:val="229557F0"/>
    <w:rsid w:val="22BC614D"/>
    <w:rsid w:val="22DF7C67"/>
    <w:rsid w:val="22F421DB"/>
    <w:rsid w:val="2306462D"/>
    <w:rsid w:val="24A5052E"/>
    <w:rsid w:val="250D66EF"/>
    <w:rsid w:val="25A56A36"/>
    <w:rsid w:val="268E5E59"/>
    <w:rsid w:val="27950966"/>
    <w:rsid w:val="279874FB"/>
    <w:rsid w:val="2864329B"/>
    <w:rsid w:val="288E52DB"/>
    <w:rsid w:val="293D62AE"/>
    <w:rsid w:val="2998413F"/>
    <w:rsid w:val="29D0405A"/>
    <w:rsid w:val="2A0C5C31"/>
    <w:rsid w:val="2B2151CC"/>
    <w:rsid w:val="2B5F028C"/>
    <w:rsid w:val="2B9E2921"/>
    <w:rsid w:val="2C0656C9"/>
    <w:rsid w:val="2C6C6D96"/>
    <w:rsid w:val="2D2279A2"/>
    <w:rsid w:val="2DC50754"/>
    <w:rsid w:val="2DE22FE2"/>
    <w:rsid w:val="2E7607FE"/>
    <w:rsid w:val="2EA20429"/>
    <w:rsid w:val="2EDB0B16"/>
    <w:rsid w:val="2F3A3D49"/>
    <w:rsid w:val="2F843FD5"/>
    <w:rsid w:val="2FC140BD"/>
    <w:rsid w:val="30587016"/>
    <w:rsid w:val="306655A5"/>
    <w:rsid w:val="30C961E2"/>
    <w:rsid w:val="317B28EB"/>
    <w:rsid w:val="31B47AEE"/>
    <w:rsid w:val="31D25B37"/>
    <w:rsid w:val="324D4E49"/>
    <w:rsid w:val="32680022"/>
    <w:rsid w:val="327E74F1"/>
    <w:rsid w:val="32E3626B"/>
    <w:rsid w:val="33FA1F83"/>
    <w:rsid w:val="343B5611"/>
    <w:rsid w:val="3444183D"/>
    <w:rsid w:val="346345C2"/>
    <w:rsid w:val="34B53172"/>
    <w:rsid w:val="34FD7F23"/>
    <w:rsid w:val="354F4174"/>
    <w:rsid w:val="35692DB9"/>
    <w:rsid w:val="35747807"/>
    <w:rsid w:val="36E1362A"/>
    <w:rsid w:val="37926FB7"/>
    <w:rsid w:val="38D4141E"/>
    <w:rsid w:val="38EA411F"/>
    <w:rsid w:val="391D567E"/>
    <w:rsid w:val="39C754A7"/>
    <w:rsid w:val="3AF16F87"/>
    <w:rsid w:val="3AFC6564"/>
    <w:rsid w:val="3B0037AE"/>
    <w:rsid w:val="3B230317"/>
    <w:rsid w:val="3B296E84"/>
    <w:rsid w:val="3BFB2C0A"/>
    <w:rsid w:val="3C256495"/>
    <w:rsid w:val="3C8B4FF1"/>
    <w:rsid w:val="3C9A388F"/>
    <w:rsid w:val="3D067EFC"/>
    <w:rsid w:val="3D2004F5"/>
    <w:rsid w:val="3DC24BE2"/>
    <w:rsid w:val="3E164DDA"/>
    <w:rsid w:val="3E4C4D69"/>
    <w:rsid w:val="3F3519EC"/>
    <w:rsid w:val="3F8A26A3"/>
    <w:rsid w:val="3FD333AF"/>
    <w:rsid w:val="3FEF4FD5"/>
    <w:rsid w:val="404C10D1"/>
    <w:rsid w:val="40850379"/>
    <w:rsid w:val="4120100B"/>
    <w:rsid w:val="41DF1BCB"/>
    <w:rsid w:val="42D71D6E"/>
    <w:rsid w:val="435A643B"/>
    <w:rsid w:val="437558E1"/>
    <w:rsid w:val="438B73C0"/>
    <w:rsid w:val="45A1133B"/>
    <w:rsid w:val="469B5BD0"/>
    <w:rsid w:val="46B34A97"/>
    <w:rsid w:val="47AF5E92"/>
    <w:rsid w:val="47B77996"/>
    <w:rsid w:val="49373910"/>
    <w:rsid w:val="49B6367B"/>
    <w:rsid w:val="49D52659"/>
    <w:rsid w:val="4A09333E"/>
    <w:rsid w:val="4A9A3518"/>
    <w:rsid w:val="4AB808BE"/>
    <w:rsid w:val="4B2E1937"/>
    <w:rsid w:val="4BB7723E"/>
    <w:rsid w:val="4BC724E1"/>
    <w:rsid w:val="4C111421"/>
    <w:rsid w:val="4C40230C"/>
    <w:rsid w:val="4CE51624"/>
    <w:rsid w:val="4D716B57"/>
    <w:rsid w:val="4DD07207"/>
    <w:rsid w:val="4DF3606E"/>
    <w:rsid w:val="4F6B2B20"/>
    <w:rsid w:val="50050775"/>
    <w:rsid w:val="502E666C"/>
    <w:rsid w:val="50C41617"/>
    <w:rsid w:val="519D3860"/>
    <w:rsid w:val="52484CFC"/>
    <w:rsid w:val="5255726F"/>
    <w:rsid w:val="52C4495B"/>
    <w:rsid w:val="53441A31"/>
    <w:rsid w:val="534937C5"/>
    <w:rsid w:val="53A9261F"/>
    <w:rsid w:val="54BA4A73"/>
    <w:rsid w:val="55557B4A"/>
    <w:rsid w:val="555B4700"/>
    <w:rsid w:val="55740FDA"/>
    <w:rsid w:val="55790854"/>
    <w:rsid w:val="55AD496A"/>
    <w:rsid w:val="56D5647E"/>
    <w:rsid w:val="56EF4526"/>
    <w:rsid w:val="57BF4518"/>
    <w:rsid w:val="582412E2"/>
    <w:rsid w:val="587E1CDD"/>
    <w:rsid w:val="58AC4B33"/>
    <w:rsid w:val="5A8A65F8"/>
    <w:rsid w:val="5BED5512"/>
    <w:rsid w:val="5C721A8C"/>
    <w:rsid w:val="5D5E18EB"/>
    <w:rsid w:val="5E977746"/>
    <w:rsid w:val="5EFD309D"/>
    <w:rsid w:val="5F192504"/>
    <w:rsid w:val="5F206E9C"/>
    <w:rsid w:val="60BC7869"/>
    <w:rsid w:val="610328CD"/>
    <w:rsid w:val="61843B76"/>
    <w:rsid w:val="628D7AD1"/>
    <w:rsid w:val="64FB0697"/>
    <w:rsid w:val="665353D9"/>
    <w:rsid w:val="668652D2"/>
    <w:rsid w:val="670C2942"/>
    <w:rsid w:val="673F7077"/>
    <w:rsid w:val="67B259E0"/>
    <w:rsid w:val="689C63FE"/>
    <w:rsid w:val="692E18EC"/>
    <w:rsid w:val="693556EC"/>
    <w:rsid w:val="69413E89"/>
    <w:rsid w:val="6A2C789A"/>
    <w:rsid w:val="6A86536E"/>
    <w:rsid w:val="6AB55602"/>
    <w:rsid w:val="6B75436B"/>
    <w:rsid w:val="6C5F5C0A"/>
    <w:rsid w:val="6CD1135F"/>
    <w:rsid w:val="6CF854BE"/>
    <w:rsid w:val="6DD518B0"/>
    <w:rsid w:val="6EFE7518"/>
    <w:rsid w:val="6F814322"/>
    <w:rsid w:val="6FF379FE"/>
    <w:rsid w:val="700C2963"/>
    <w:rsid w:val="718B502F"/>
    <w:rsid w:val="71DB67A7"/>
    <w:rsid w:val="71EA3DB5"/>
    <w:rsid w:val="71EF1B6C"/>
    <w:rsid w:val="71F4097D"/>
    <w:rsid w:val="72374023"/>
    <w:rsid w:val="726700B3"/>
    <w:rsid w:val="72AF5E48"/>
    <w:rsid w:val="72BE7833"/>
    <w:rsid w:val="72E27A27"/>
    <w:rsid w:val="734A4930"/>
    <w:rsid w:val="73975D45"/>
    <w:rsid w:val="746854A1"/>
    <w:rsid w:val="74A14EE2"/>
    <w:rsid w:val="74E43D52"/>
    <w:rsid w:val="74EC262D"/>
    <w:rsid w:val="75404807"/>
    <w:rsid w:val="755F0E52"/>
    <w:rsid w:val="75BF405D"/>
    <w:rsid w:val="75DA3AA6"/>
    <w:rsid w:val="75DE39CA"/>
    <w:rsid w:val="7613160C"/>
    <w:rsid w:val="768C4610"/>
    <w:rsid w:val="769E30AE"/>
    <w:rsid w:val="77073113"/>
    <w:rsid w:val="78851728"/>
    <w:rsid w:val="79AB3F74"/>
    <w:rsid w:val="79B20FE2"/>
    <w:rsid w:val="7A1475C8"/>
    <w:rsid w:val="7A9362DC"/>
    <w:rsid w:val="7AFD0A59"/>
    <w:rsid w:val="7B110BE2"/>
    <w:rsid w:val="7B1D4A30"/>
    <w:rsid w:val="7B401CE6"/>
    <w:rsid w:val="7B9F6C11"/>
    <w:rsid w:val="7E0F44C2"/>
    <w:rsid w:val="7E115509"/>
    <w:rsid w:val="7E6A318D"/>
    <w:rsid w:val="7E6F2064"/>
    <w:rsid w:val="7F802A56"/>
    <w:rsid w:val="7FA4596A"/>
    <w:rsid w:val="7FD406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2019-03-21T00:51:59Z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